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D455" w14:textId="77777777" w:rsidR="00F00E7A" w:rsidRDefault="00F00E7A" w:rsidP="00F00E7A">
      <w:pPr>
        <w:pStyle w:val="Kop1"/>
        <w:rPr>
          <w:lang w:val="en-US"/>
        </w:rPr>
      </w:pPr>
      <w:proofErr w:type="spellStart"/>
      <w:r w:rsidRPr="00F00E7A">
        <w:rPr>
          <w:lang w:val="en-US"/>
        </w:rPr>
        <w:t>Samenvatting</w:t>
      </w:r>
      <w:proofErr w:type="spellEnd"/>
      <w:r w:rsidRPr="00F00E7A">
        <w:rPr>
          <w:lang w:val="en-US"/>
        </w:rPr>
        <w:t xml:space="preserve"> </w:t>
      </w:r>
      <w:r>
        <w:rPr>
          <w:lang w:val="en-US"/>
        </w:rPr>
        <w:t>European Accessibility Act</w:t>
      </w:r>
    </w:p>
    <w:p w14:paraId="203C4142" w14:textId="34FC9673" w:rsidR="00F00E7A" w:rsidRPr="00F00E7A" w:rsidRDefault="00000000" w:rsidP="00F00E7A">
      <w:pPr>
        <w:rPr>
          <w:rFonts w:ascii="Aptos" w:hAnsi="Aptos"/>
          <w:lang w:val="en-US"/>
        </w:rPr>
      </w:pPr>
      <w:hyperlink r:id="rId5" w:history="1">
        <w:r w:rsidR="00F00E7A" w:rsidRPr="00F00E7A">
          <w:rPr>
            <w:rStyle w:val="Hyperlink"/>
            <w:rFonts w:ascii="Aptos" w:hAnsi="Aptos"/>
            <w:lang w:val="en-US"/>
          </w:rPr>
          <w:t>ICTRecht.nl over de European Accessibility Act (EAA)</w:t>
        </w:r>
      </w:hyperlink>
    </w:p>
    <w:p w14:paraId="42A047C9" w14:textId="40E41A59" w:rsidR="00F00E7A" w:rsidRPr="00F00E7A" w:rsidRDefault="00F00E7A" w:rsidP="00F00E7A">
      <w:pPr>
        <w:rPr>
          <w:rFonts w:ascii="Aptos" w:hAnsi="Aptos"/>
          <w:lang w:val="en-US"/>
        </w:rPr>
      </w:pPr>
    </w:p>
    <w:p w14:paraId="19EEB673" w14:textId="6E3CCFB9" w:rsidR="00F00E7A" w:rsidRPr="00F00E7A" w:rsidRDefault="00F00E7A" w:rsidP="00F00E7A">
      <w:pPr>
        <w:rPr>
          <w:rFonts w:ascii="Aptos" w:hAnsi="Aptos"/>
        </w:rPr>
      </w:pPr>
      <w:r w:rsidRPr="00F00E7A">
        <w:rPr>
          <w:rFonts w:ascii="Aptos" w:hAnsi="Aptos"/>
        </w:rPr>
        <w:t>European Accessibility Act – Wat ondernemers moeten weten</w:t>
      </w:r>
    </w:p>
    <w:p w14:paraId="75DA17BD" w14:textId="7482EDD4" w:rsidR="00F00E7A" w:rsidRPr="00F00E7A" w:rsidRDefault="00F00E7A" w:rsidP="00F00E7A">
      <w:pPr>
        <w:rPr>
          <w:rFonts w:ascii="Aptos" w:hAnsi="Aptos"/>
        </w:rPr>
      </w:pPr>
      <w:r w:rsidRPr="00F00E7A">
        <w:rPr>
          <w:rFonts w:ascii="Aptos" w:hAnsi="Aptos"/>
        </w:rPr>
        <w:t>De European Accessibility Act is een Europese wet die vanaf 28 juni 2025 verplicht dat bepaalde digitale producten en diensten toegankelijk zijn voor mensen met een beperking. De wet is bedoeld om digitale inclusie te bevorderen én de interne markt te versterken door uniforme eisen te stellen.</w:t>
      </w:r>
    </w:p>
    <w:p w14:paraId="4ACDB62E" w14:textId="17E8602D" w:rsidR="00F00E7A" w:rsidRPr="00F00E7A" w:rsidRDefault="00F00E7A" w:rsidP="00F00E7A">
      <w:pPr>
        <w:rPr>
          <w:rFonts w:ascii="Aptos" w:hAnsi="Aptos"/>
        </w:rPr>
      </w:pPr>
      <w:r w:rsidRPr="00F00E7A">
        <w:rPr>
          <w:rFonts w:ascii="Aptos" w:hAnsi="Aptos"/>
        </w:rPr>
        <w:t>Voor wie geldt de EAA?</w:t>
      </w:r>
    </w:p>
    <w:p w14:paraId="50D2DAC0" w14:textId="77777777" w:rsidR="00F00E7A" w:rsidRPr="00F00E7A" w:rsidRDefault="00F00E7A" w:rsidP="00F00E7A">
      <w:pPr>
        <w:spacing w:after="0"/>
        <w:rPr>
          <w:rFonts w:ascii="Aptos" w:hAnsi="Aptos"/>
        </w:rPr>
      </w:pPr>
      <w:r w:rsidRPr="00F00E7A">
        <w:rPr>
          <w:rFonts w:ascii="Aptos" w:hAnsi="Aptos"/>
        </w:rPr>
        <w:t>De wet geldt voor bedrijven die bepaalde producten of diensten aanbieden binnen de EU, zoals:</w:t>
      </w:r>
    </w:p>
    <w:p w14:paraId="441EE200" w14:textId="77777777" w:rsidR="00F00E7A" w:rsidRPr="00F00E7A" w:rsidRDefault="00F00E7A" w:rsidP="00F00E7A">
      <w:pPr>
        <w:numPr>
          <w:ilvl w:val="0"/>
          <w:numId w:val="1"/>
        </w:numPr>
        <w:tabs>
          <w:tab w:val="clear" w:pos="360"/>
          <w:tab w:val="num" w:pos="720"/>
        </w:tabs>
        <w:spacing w:after="0"/>
        <w:rPr>
          <w:rFonts w:ascii="Aptos" w:hAnsi="Aptos"/>
        </w:rPr>
      </w:pPr>
      <w:r w:rsidRPr="00F00E7A">
        <w:rPr>
          <w:rFonts w:ascii="Aptos" w:hAnsi="Aptos"/>
        </w:rPr>
        <w:t>Webshops</w:t>
      </w:r>
    </w:p>
    <w:p w14:paraId="6FD0E334" w14:textId="77777777" w:rsidR="00F00E7A" w:rsidRPr="00F00E7A" w:rsidRDefault="00F00E7A" w:rsidP="00F00E7A">
      <w:pPr>
        <w:numPr>
          <w:ilvl w:val="0"/>
          <w:numId w:val="1"/>
        </w:numPr>
        <w:tabs>
          <w:tab w:val="clear" w:pos="360"/>
          <w:tab w:val="num" w:pos="720"/>
        </w:tabs>
        <w:spacing w:after="0"/>
        <w:rPr>
          <w:rFonts w:ascii="Aptos" w:hAnsi="Aptos"/>
        </w:rPr>
      </w:pPr>
      <w:r w:rsidRPr="00F00E7A">
        <w:rPr>
          <w:rFonts w:ascii="Aptos" w:hAnsi="Aptos"/>
        </w:rPr>
        <w:t>Mobiele apps</w:t>
      </w:r>
    </w:p>
    <w:p w14:paraId="3BA92D7D" w14:textId="77777777" w:rsidR="00F00E7A" w:rsidRPr="00F00E7A" w:rsidRDefault="00F00E7A" w:rsidP="00F00E7A">
      <w:pPr>
        <w:numPr>
          <w:ilvl w:val="0"/>
          <w:numId w:val="1"/>
        </w:numPr>
        <w:tabs>
          <w:tab w:val="clear" w:pos="360"/>
          <w:tab w:val="num" w:pos="720"/>
        </w:tabs>
        <w:spacing w:after="0"/>
        <w:rPr>
          <w:rFonts w:ascii="Aptos" w:hAnsi="Aptos"/>
        </w:rPr>
      </w:pPr>
      <w:r w:rsidRPr="00F00E7A">
        <w:rPr>
          <w:rFonts w:ascii="Aptos" w:hAnsi="Aptos"/>
        </w:rPr>
        <w:t>E-books en e-readers</w:t>
      </w:r>
    </w:p>
    <w:p w14:paraId="6442E7F4" w14:textId="77777777" w:rsidR="00F00E7A" w:rsidRPr="00F00E7A" w:rsidRDefault="00F00E7A" w:rsidP="00F00E7A">
      <w:pPr>
        <w:numPr>
          <w:ilvl w:val="0"/>
          <w:numId w:val="1"/>
        </w:numPr>
        <w:tabs>
          <w:tab w:val="clear" w:pos="360"/>
          <w:tab w:val="num" w:pos="720"/>
        </w:tabs>
        <w:spacing w:after="0"/>
        <w:rPr>
          <w:rFonts w:ascii="Aptos" w:hAnsi="Aptos"/>
        </w:rPr>
      </w:pPr>
      <w:r w:rsidRPr="00F00E7A">
        <w:rPr>
          <w:rFonts w:ascii="Aptos" w:hAnsi="Aptos"/>
        </w:rPr>
        <w:t>Betaalautomaten</w:t>
      </w:r>
    </w:p>
    <w:p w14:paraId="75C969C8" w14:textId="77777777" w:rsidR="00F00E7A" w:rsidRPr="00F00E7A" w:rsidRDefault="00F00E7A" w:rsidP="00F00E7A">
      <w:pPr>
        <w:numPr>
          <w:ilvl w:val="0"/>
          <w:numId w:val="1"/>
        </w:numPr>
        <w:tabs>
          <w:tab w:val="clear" w:pos="360"/>
          <w:tab w:val="num" w:pos="720"/>
        </w:tabs>
        <w:spacing w:after="0"/>
        <w:rPr>
          <w:rFonts w:ascii="Aptos" w:hAnsi="Aptos"/>
        </w:rPr>
      </w:pPr>
      <w:r w:rsidRPr="00F00E7A">
        <w:rPr>
          <w:rFonts w:ascii="Aptos" w:hAnsi="Aptos"/>
        </w:rPr>
        <w:t>Computers en smartphones</w:t>
      </w:r>
    </w:p>
    <w:p w14:paraId="4AEC1E4F" w14:textId="77777777" w:rsidR="00F00E7A" w:rsidRPr="00F00E7A" w:rsidRDefault="00F00E7A" w:rsidP="00F00E7A">
      <w:pPr>
        <w:numPr>
          <w:ilvl w:val="0"/>
          <w:numId w:val="1"/>
        </w:numPr>
        <w:tabs>
          <w:tab w:val="clear" w:pos="360"/>
          <w:tab w:val="num" w:pos="720"/>
        </w:tabs>
        <w:spacing w:after="0"/>
        <w:rPr>
          <w:rFonts w:ascii="Aptos" w:hAnsi="Aptos"/>
        </w:rPr>
      </w:pPr>
      <w:proofErr w:type="gramStart"/>
      <w:r w:rsidRPr="00F00E7A">
        <w:rPr>
          <w:rFonts w:ascii="Aptos" w:hAnsi="Aptos"/>
        </w:rPr>
        <w:t>Online klantenservices</w:t>
      </w:r>
      <w:proofErr w:type="gramEnd"/>
      <w:r w:rsidRPr="00F00E7A">
        <w:rPr>
          <w:rFonts w:ascii="Aptos" w:hAnsi="Aptos"/>
        </w:rPr>
        <w:t xml:space="preserve"> (chat, e-mail, telefoonmenu’s)</w:t>
      </w:r>
    </w:p>
    <w:p w14:paraId="5F5391E4" w14:textId="77777777" w:rsidR="00F00E7A" w:rsidRPr="00F00E7A" w:rsidRDefault="00F00E7A" w:rsidP="00F00E7A">
      <w:pPr>
        <w:numPr>
          <w:ilvl w:val="0"/>
          <w:numId w:val="1"/>
        </w:numPr>
        <w:tabs>
          <w:tab w:val="clear" w:pos="360"/>
          <w:tab w:val="num" w:pos="720"/>
        </w:tabs>
        <w:spacing w:after="0"/>
        <w:rPr>
          <w:rFonts w:ascii="Aptos" w:hAnsi="Aptos"/>
        </w:rPr>
      </w:pPr>
      <w:r w:rsidRPr="00F00E7A">
        <w:rPr>
          <w:rFonts w:ascii="Aptos" w:hAnsi="Aptos"/>
        </w:rPr>
        <w:t>Digitale ticket- en inchecksystemen</w:t>
      </w:r>
    </w:p>
    <w:p w14:paraId="2410C5D3" w14:textId="77777777" w:rsidR="00F00E7A" w:rsidRDefault="00F00E7A" w:rsidP="00F00E7A">
      <w:pPr>
        <w:numPr>
          <w:ilvl w:val="0"/>
          <w:numId w:val="1"/>
        </w:numPr>
        <w:tabs>
          <w:tab w:val="clear" w:pos="360"/>
          <w:tab w:val="num" w:pos="720"/>
        </w:tabs>
        <w:spacing w:after="0"/>
        <w:rPr>
          <w:rFonts w:ascii="Aptos" w:hAnsi="Aptos"/>
        </w:rPr>
      </w:pPr>
      <w:r w:rsidRPr="00F00E7A">
        <w:rPr>
          <w:rFonts w:ascii="Aptos" w:hAnsi="Aptos"/>
        </w:rPr>
        <w:t>Digitale diensten van banken en vervoersbedrijven</w:t>
      </w:r>
    </w:p>
    <w:p w14:paraId="5A8647DA" w14:textId="77777777" w:rsidR="00F00E7A" w:rsidRPr="00F00E7A" w:rsidRDefault="00F00E7A" w:rsidP="00F00E7A">
      <w:pPr>
        <w:spacing w:after="0"/>
        <w:ind w:left="360"/>
        <w:rPr>
          <w:rFonts w:ascii="Aptos" w:hAnsi="Aptos"/>
        </w:rPr>
      </w:pPr>
    </w:p>
    <w:p w14:paraId="3281FC01" w14:textId="77777777" w:rsidR="00F00E7A" w:rsidRPr="00F00E7A" w:rsidRDefault="00F00E7A" w:rsidP="00F00E7A">
      <w:pPr>
        <w:rPr>
          <w:rFonts w:ascii="Aptos" w:hAnsi="Aptos"/>
        </w:rPr>
      </w:pPr>
      <w:r w:rsidRPr="00F00E7A">
        <w:rPr>
          <w:rFonts w:ascii="Aptos" w:hAnsi="Aptos"/>
        </w:rPr>
        <w:t xml:space="preserve">Micro-ondernemingen (minder dan 10 medewerkers en &lt; €2 miljoen jaaromzet) zijn uitgezonderd van de verplichtingen, maar </w:t>
      </w:r>
      <w:r w:rsidRPr="00F00E7A">
        <w:rPr>
          <w:rFonts w:ascii="Aptos" w:hAnsi="Aptos"/>
          <w:i/>
          <w:iCs/>
        </w:rPr>
        <w:t>het is nog steeds aanbevolen om toegankelijkheid serieus te nemen</w:t>
      </w:r>
      <w:r w:rsidRPr="00F00E7A">
        <w:rPr>
          <w:rFonts w:ascii="Aptos" w:hAnsi="Aptos"/>
        </w:rPr>
        <w:t xml:space="preserve"> (denk aan klantenbinding en maatschappelijk verantwoord ondernemen).</w:t>
      </w:r>
    </w:p>
    <w:p w14:paraId="3FAD8FB9" w14:textId="4980CFE0" w:rsidR="00F00E7A" w:rsidRPr="00F00E7A" w:rsidRDefault="00F00E7A" w:rsidP="00F00E7A">
      <w:pPr>
        <w:rPr>
          <w:rFonts w:ascii="Aptos" w:hAnsi="Aptos"/>
        </w:rPr>
      </w:pPr>
      <w:r w:rsidRPr="00F00E7A">
        <w:rPr>
          <w:rFonts w:ascii="Aptos" w:hAnsi="Aptos"/>
        </w:rPr>
        <w:t>Wat houdt ‘toegankelijk’ in?</w:t>
      </w:r>
    </w:p>
    <w:p w14:paraId="006F927D" w14:textId="77777777" w:rsidR="00F00E7A" w:rsidRPr="00F00E7A" w:rsidRDefault="00F00E7A" w:rsidP="00F00E7A">
      <w:pPr>
        <w:rPr>
          <w:rFonts w:ascii="Aptos" w:hAnsi="Aptos"/>
        </w:rPr>
      </w:pPr>
      <w:r w:rsidRPr="00F00E7A">
        <w:rPr>
          <w:rFonts w:ascii="Aptos" w:hAnsi="Aptos"/>
        </w:rPr>
        <w:t>Toegankelijkheid betekent dat iedereen, ook mensen met een visuele, auditieve of motorische beperking, je digitale producten of diensten moet kunnen gebruiken. Denk aan:</w:t>
      </w:r>
    </w:p>
    <w:p w14:paraId="53537690" w14:textId="77777777" w:rsidR="00F00E7A" w:rsidRPr="00F00E7A" w:rsidRDefault="00F00E7A" w:rsidP="00F00E7A">
      <w:pPr>
        <w:numPr>
          <w:ilvl w:val="0"/>
          <w:numId w:val="2"/>
        </w:numPr>
        <w:tabs>
          <w:tab w:val="clear" w:pos="360"/>
          <w:tab w:val="num" w:pos="720"/>
        </w:tabs>
        <w:spacing w:after="0"/>
        <w:rPr>
          <w:rFonts w:ascii="Aptos" w:hAnsi="Aptos"/>
        </w:rPr>
      </w:pPr>
      <w:r w:rsidRPr="00F00E7A">
        <w:rPr>
          <w:rFonts w:ascii="Aptos" w:hAnsi="Aptos"/>
        </w:rPr>
        <w:t>Goed leesbare teksten en logische kopstructuren</w:t>
      </w:r>
    </w:p>
    <w:p w14:paraId="43F85226" w14:textId="77777777" w:rsidR="00F00E7A" w:rsidRPr="00F00E7A" w:rsidRDefault="00F00E7A" w:rsidP="00F00E7A">
      <w:pPr>
        <w:numPr>
          <w:ilvl w:val="0"/>
          <w:numId w:val="2"/>
        </w:numPr>
        <w:tabs>
          <w:tab w:val="clear" w:pos="360"/>
          <w:tab w:val="num" w:pos="720"/>
        </w:tabs>
        <w:spacing w:after="0"/>
        <w:rPr>
          <w:rFonts w:ascii="Aptos" w:hAnsi="Aptos"/>
        </w:rPr>
      </w:pPr>
      <w:r w:rsidRPr="00F00E7A">
        <w:rPr>
          <w:rFonts w:ascii="Aptos" w:hAnsi="Aptos"/>
        </w:rPr>
        <w:t>Voldoende kleurcontrast</w:t>
      </w:r>
    </w:p>
    <w:p w14:paraId="287446F6" w14:textId="77777777" w:rsidR="00F00E7A" w:rsidRPr="00F00E7A" w:rsidRDefault="00F00E7A" w:rsidP="00F00E7A">
      <w:pPr>
        <w:numPr>
          <w:ilvl w:val="0"/>
          <w:numId w:val="2"/>
        </w:numPr>
        <w:tabs>
          <w:tab w:val="clear" w:pos="360"/>
          <w:tab w:val="num" w:pos="720"/>
        </w:tabs>
        <w:spacing w:after="0"/>
        <w:rPr>
          <w:rFonts w:ascii="Aptos" w:hAnsi="Aptos"/>
        </w:rPr>
      </w:pPr>
      <w:r w:rsidRPr="00F00E7A">
        <w:rPr>
          <w:rFonts w:ascii="Aptos" w:hAnsi="Aptos"/>
        </w:rPr>
        <w:t>Bedienbaarheid met toetsenbord en screenreader</w:t>
      </w:r>
    </w:p>
    <w:p w14:paraId="0FD305F7" w14:textId="77777777" w:rsidR="00F00E7A" w:rsidRPr="00F00E7A" w:rsidRDefault="00F00E7A" w:rsidP="00F00E7A">
      <w:pPr>
        <w:numPr>
          <w:ilvl w:val="0"/>
          <w:numId w:val="2"/>
        </w:numPr>
        <w:tabs>
          <w:tab w:val="clear" w:pos="360"/>
          <w:tab w:val="num" w:pos="720"/>
        </w:tabs>
        <w:spacing w:after="0"/>
        <w:rPr>
          <w:rFonts w:ascii="Aptos" w:hAnsi="Aptos"/>
        </w:rPr>
      </w:pPr>
      <w:r w:rsidRPr="00F00E7A">
        <w:rPr>
          <w:rFonts w:ascii="Aptos" w:hAnsi="Aptos"/>
        </w:rPr>
        <w:t>Alternatieve teksten bij afbeeldingen</w:t>
      </w:r>
    </w:p>
    <w:p w14:paraId="2D9889DB" w14:textId="77777777" w:rsidR="00F00E7A" w:rsidRPr="00F00E7A" w:rsidRDefault="00F00E7A" w:rsidP="00F00E7A">
      <w:pPr>
        <w:numPr>
          <w:ilvl w:val="0"/>
          <w:numId w:val="2"/>
        </w:numPr>
        <w:tabs>
          <w:tab w:val="clear" w:pos="360"/>
          <w:tab w:val="num" w:pos="720"/>
        </w:tabs>
        <w:spacing w:after="0"/>
        <w:rPr>
          <w:rFonts w:ascii="Aptos" w:hAnsi="Aptos"/>
        </w:rPr>
      </w:pPr>
      <w:r w:rsidRPr="00F00E7A">
        <w:rPr>
          <w:rFonts w:ascii="Aptos" w:hAnsi="Aptos"/>
        </w:rPr>
        <w:t>Ondertiteling bij video’s</w:t>
      </w:r>
    </w:p>
    <w:p w14:paraId="4FED6814" w14:textId="77777777" w:rsidR="00F00E7A" w:rsidRDefault="00F00E7A" w:rsidP="00F00E7A">
      <w:pPr>
        <w:numPr>
          <w:ilvl w:val="0"/>
          <w:numId w:val="2"/>
        </w:numPr>
        <w:tabs>
          <w:tab w:val="clear" w:pos="360"/>
          <w:tab w:val="num" w:pos="720"/>
        </w:tabs>
        <w:spacing w:after="0"/>
        <w:rPr>
          <w:rFonts w:ascii="Aptos" w:hAnsi="Aptos"/>
        </w:rPr>
      </w:pPr>
      <w:r w:rsidRPr="00F00E7A">
        <w:rPr>
          <w:rFonts w:ascii="Aptos" w:hAnsi="Aptos"/>
        </w:rPr>
        <w:t>Eenvoudige navigatie</w:t>
      </w:r>
    </w:p>
    <w:p w14:paraId="6F6CCA0E" w14:textId="77777777" w:rsidR="00F00E7A" w:rsidRPr="00F00E7A" w:rsidRDefault="00F00E7A" w:rsidP="00F00E7A">
      <w:pPr>
        <w:spacing w:after="0"/>
        <w:ind w:left="360"/>
        <w:rPr>
          <w:rFonts w:ascii="Aptos" w:hAnsi="Aptos"/>
        </w:rPr>
      </w:pPr>
    </w:p>
    <w:p w14:paraId="61BEB914" w14:textId="77777777" w:rsidR="00F00E7A" w:rsidRPr="00F00E7A" w:rsidRDefault="00F00E7A" w:rsidP="00F00E7A">
      <w:pPr>
        <w:rPr>
          <w:rFonts w:ascii="Aptos" w:hAnsi="Aptos"/>
        </w:rPr>
      </w:pPr>
      <w:r w:rsidRPr="00F00E7A">
        <w:rPr>
          <w:rFonts w:ascii="Aptos" w:hAnsi="Aptos"/>
        </w:rPr>
        <w:t>De eisen zijn grotendeels gebaseerd op de WCAG 2.1-richtlijnen (niveau AA).</w:t>
      </w:r>
    </w:p>
    <w:p w14:paraId="223DA226" w14:textId="77777777" w:rsidR="00F00E7A" w:rsidRDefault="00F00E7A" w:rsidP="00F00E7A">
      <w:pPr>
        <w:rPr>
          <w:rFonts w:ascii="Segoe UI Emoji" w:hAnsi="Segoe UI Emoji" w:cs="Segoe UI Emoji"/>
        </w:rPr>
      </w:pPr>
    </w:p>
    <w:p w14:paraId="5968BA16" w14:textId="6EAB28D7" w:rsidR="00F00E7A" w:rsidRPr="00F00E7A" w:rsidRDefault="00F00E7A" w:rsidP="00F00E7A">
      <w:pPr>
        <w:rPr>
          <w:rFonts w:ascii="Aptos" w:hAnsi="Aptos"/>
          <w:i/>
          <w:iCs/>
        </w:rPr>
      </w:pPr>
      <w:r w:rsidRPr="00F00E7A">
        <w:rPr>
          <w:rFonts w:ascii="Aptos" w:hAnsi="Aptos"/>
          <w:i/>
          <w:iCs/>
        </w:rPr>
        <w:t>Wat als je niet voldoet?</w:t>
      </w:r>
    </w:p>
    <w:p w14:paraId="21B7C8B1" w14:textId="77777777" w:rsidR="00F00E7A" w:rsidRPr="00F00E7A" w:rsidRDefault="00F00E7A" w:rsidP="00F00E7A">
      <w:pPr>
        <w:rPr>
          <w:rFonts w:ascii="Aptos" w:hAnsi="Aptos"/>
          <w:i/>
          <w:iCs/>
        </w:rPr>
      </w:pPr>
      <w:r w:rsidRPr="00F00E7A">
        <w:rPr>
          <w:rFonts w:ascii="Aptos" w:hAnsi="Aptos"/>
          <w:i/>
          <w:iCs/>
        </w:rPr>
        <w:t>Handhaving gebeurt via de Nederlandse wetgeving (via de Wet gelijke behandeling op grond van handicap of chronische ziekte en andere implementatiewetten). Er kunnen boetes of andere sancties volgen bij niet-naleving.</w:t>
      </w:r>
    </w:p>
    <w:p w14:paraId="0FC443F5" w14:textId="4BEE2C38" w:rsidR="00EE2BA0" w:rsidRPr="00F00E7A" w:rsidRDefault="00F00E7A">
      <w:pPr>
        <w:rPr>
          <w:rFonts w:ascii="Aptos" w:hAnsi="Aptos"/>
        </w:rPr>
      </w:pPr>
      <w:r>
        <w:rPr>
          <w:rFonts w:ascii="Aptos" w:hAnsi="Aptos"/>
        </w:rPr>
        <w:t>-------------------------------------------------------------------------------------------------------------------</w:t>
      </w:r>
    </w:p>
    <w:sectPr w:rsidR="00EE2BA0" w:rsidRPr="00F00E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337CF"/>
    <w:multiLevelType w:val="multilevel"/>
    <w:tmpl w:val="598CB8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CD25F22"/>
    <w:multiLevelType w:val="multilevel"/>
    <w:tmpl w:val="C16CE0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F704C9D"/>
    <w:multiLevelType w:val="multilevel"/>
    <w:tmpl w:val="F246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5611194">
    <w:abstractNumId w:val="1"/>
  </w:num>
  <w:num w:numId="2" w16cid:durableId="1257910107">
    <w:abstractNumId w:val="0"/>
  </w:num>
  <w:num w:numId="3" w16cid:durableId="1445618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7A"/>
    <w:rsid w:val="004518CB"/>
    <w:rsid w:val="00C63108"/>
    <w:rsid w:val="00EE2BA0"/>
    <w:rsid w:val="00F00E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80DB"/>
  <w15:chartTrackingRefBased/>
  <w15:docId w15:val="{89068208-B75A-481A-AE19-5C17A185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0E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00E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00E7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00E7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00E7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00E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0E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0E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0E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0E7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00E7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00E7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00E7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00E7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00E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0E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0E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0E7A"/>
    <w:rPr>
      <w:rFonts w:eastAsiaTheme="majorEastAsia" w:cstheme="majorBidi"/>
      <w:color w:val="272727" w:themeColor="text1" w:themeTint="D8"/>
    </w:rPr>
  </w:style>
  <w:style w:type="paragraph" w:styleId="Titel">
    <w:name w:val="Title"/>
    <w:basedOn w:val="Standaard"/>
    <w:next w:val="Standaard"/>
    <w:link w:val="TitelChar"/>
    <w:uiPriority w:val="10"/>
    <w:qFormat/>
    <w:rsid w:val="00F0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0E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0E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0E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0E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0E7A"/>
    <w:rPr>
      <w:i/>
      <w:iCs/>
      <w:color w:val="404040" w:themeColor="text1" w:themeTint="BF"/>
    </w:rPr>
  </w:style>
  <w:style w:type="paragraph" w:styleId="Lijstalinea">
    <w:name w:val="List Paragraph"/>
    <w:basedOn w:val="Standaard"/>
    <w:uiPriority w:val="34"/>
    <w:qFormat/>
    <w:rsid w:val="00F00E7A"/>
    <w:pPr>
      <w:ind w:left="720"/>
      <w:contextualSpacing/>
    </w:pPr>
  </w:style>
  <w:style w:type="character" w:styleId="Intensievebenadrukking">
    <w:name w:val="Intense Emphasis"/>
    <w:basedOn w:val="Standaardalinea-lettertype"/>
    <w:uiPriority w:val="21"/>
    <w:qFormat/>
    <w:rsid w:val="00F00E7A"/>
    <w:rPr>
      <w:i/>
      <w:iCs/>
      <w:color w:val="2F5496" w:themeColor="accent1" w:themeShade="BF"/>
    </w:rPr>
  </w:style>
  <w:style w:type="paragraph" w:styleId="Duidelijkcitaat">
    <w:name w:val="Intense Quote"/>
    <w:basedOn w:val="Standaard"/>
    <w:next w:val="Standaard"/>
    <w:link w:val="DuidelijkcitaatChar"/>
    <w:uiPriority w:val="30"/>
    <w:qFormat/>
    <w:rsid w:val="00F00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00E7A"/>
    <w:rPr>
      <w:i/>
      <w:iCs/>
      <w:color w:val="2F5496" w:themeColor="accent1" w:themeShade="BF"/>
    </w:rPr>
  </w:style>
  <w:style w:type="character" w:styleId="Intensieveverwijzing">
    <w:name w:val="Intense Reference"/>
    <w:basedOn w:val="Standaardalinea-lettertype"/>
    <w:uiPriority w:val="32"/>
    <w:qFormat/>
    <w:rsid w:val="00F00E7A"/>
    <w:rPr>
      <w:b/>
      <w:bCs/>
      <w:smallCaps/>
      <w:color w:val="2F5496" w:themeColor="accent1" w:themeShade="BF"/>
      <w:spacing w:val="5"/>
    </w:rPr>
  </w:style>
  <w:style w:type="character" w:styleId="Hyperlink">
    <w:name w:val="Hyperlink"/>
    <w:basedOn w:val="Standaardalinea-lettertype"/>
    <w:uiPriority w:val="99"/>
    <w:unhideWhenUsed/>
    <w:rsid w:val="00F00E7A"/>
    <w:rPr>
      <w:color w:val="0563C1" w:themeColor="hyperlink"/>
      <w:u w:val="single"/>
    </w:rPr>
  </w:style>
  <w:style w:type="character" w:styleId="Onopgelostemelding">
    <w:name w:val="Unresolved Mention"/>
    <w:basedOn w:val="Standaardalinea-lettertype"/>
    <w:uiPriority w:val="99"/>
    <w:semiHidden/>
    <w:unhideWhenUsed/>
    <w:rsid w:val="00F00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93315">
      <w:bodyDiv w:val="1"/>
      <w:marLeft w:val="0"/>
      <w:marRight w:val="0"/>
      <w:marTop w:val="0"/>
      <w:marBottom w:val="0"/>
      <w:divBdr>
        <w:top w:val="none" w:sz="0" w:space="0" w:color="auto"/>
        <w:left w:val="none" w:sz="0" w:space="0" w:color="auto"/>
        <w:bottom w:val="none" w:sz="0" w:space="0" w:color="auto"/>
        <w:right w:val="none" w:sz="0" w:space="0" w:color="auto"/>
      </w:divBdr>
    </w:div>
    <w:div w:id="167661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ctrecht.nl/wetgeving/european-accessibility-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1658</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Dorrit Theunissen</dc:creator>
  <cp:keywords/>
  <dc:description/>
  <cp:lastModifiedBy>Dorrit Theunissen</cp:lastModifiedBy>
  <cp:revision>2</cp:revision>
  <dcterms:created xsi:type="dcterms:W3CDTF">2025-06-24T08:03:00Z</dcterms:created>
  <dcterms:modified xsi:type="dcterms:W3CDTF">2025-06-24T08:07:00Z</dcterms:modified>
</cp:coreProperties>
</file>