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CE7A" w14:textId="716741F0" w:rsidR="0092054A" w:rsidRPr="00612B00" w:rsidRDefault="00000000">
      <w:pPr>
        <w:pStyle w:val="Kop2"/>
        <w:rPr>
          <w:rFonts w:asciiTheme="minorHAnsi" w:hAnsiTheme="minorHAnsi"/>
          <w:color w:val="E97132" w:themeColor="accent2"/>
          <w:lang w:val="nl-NL"/>
        </w:rPr>
      </w:pPr>
      <w:bookmarkStart w:id="0" w:name="Xc0d238c6c8cd3a54c8bad77efd918594ae3afa6"/>
      <w:r w:rsidRPr="00612B00">
        <w:rPr>
          <w:rFonts w:asciiTheme="minorHAnsi" w:hAnsiTheme="minorHAnsi"/>
          <w:color w:val="E97132" w:themeColor="accent2"/>
          <w:lang w:val="nl-NL"/>
        </w:rPr>
        <w:t xml:space="preserve">Juridische keuzes voor </w:t>
      </w:r>
      <w:r w:rsidR="00612B00">
        <w:rPr>
          <w:rFonts w:asciiTheme="minorHAnsi" w:hAnsiTheme="minorHAnsi"/>
          <w:color w:val="E97132" w:themeColor="accent2"/>
          <w:lang w:val="nl-NL"/>
        </w:rPr>
        <w:t>ondernemers</w:t>
      </w:r>
      <w:r w:rsidRPr="00612B00">
        <w:rPr>
          <w:rFonts w:asciiTheme="minorHAnsi" w:hAnsiTheme="minorHAnsi"/>
          <w:color w:val="E97132" w:themeColor="accent2"/>
          <w:lang w:val="nl-NL"/>
        </w:rPr>
        <w:t xml:space="preserve">: slimme afwegingen in </w:t>
      </w:r>
      <w:r w:rsidR="00612B00">
        <w:rPr>
          <w:rFonts w:asciiTheme="minorHAnsi" w:hAnsiTheme="minorHAnsi"/>
          <w:color w:val="E97132" w:themeColor="accent2"/>
          <w:lang w:val="nl-NL"/>
        </w:rPr>
        <w:t>de</w:t>
      </w:r>
      <w:r w:rsidRPr="00612B00">
        <w:rPr>
          <w:rFonts w:asciiTheme="minorHAnsi" w:hAnsiTheme="minorHAnsi"/>
          <w:color w:val="E97132" w:themeColor="accent2"/>
          <w:lang w:val="nl-NL"/>
        </w:rPr>
        <w:t xml:space="preserve"> praktijk</w:t>
      </w:r>
      <w:r w:rsidR="00612B00">
        <w:rPr>
          <w:rFonts w:asciiTheme="minorHAnsi" w:hAnsiTheme="minorHAnsi"/>
          <w:color w:val="E97132" w:themeColor="accent2"/>
          <w:lang w:val="nl-NL"/>
        </w:rPr>
        <w:t xml:space="preserve"> - voorbeelden</w:t>
      </w:r>
    </w:p>
    <w:p w14:paraId="5123E683" w14:textId="706D3490" w:rsidR="0092054A" w:rsidRPr="00612B00" w:rsidRDefault="0092054A">
      <w:pPr>
        <w:rPr>
          <w:lang w:val="nl-NL"/>
        </w:rPr>
      </w:pPr>
    </w:p>
    <w:p w14:paraId="694F0F7F" w14:textId="77777777" w:rsidR="0092054A" w:rsidRPr="00612B00" w:rsidRDefault="00000000">
      <w:pPr>
        <w:pStyle w:val="Kop3"/>
        <w:rPr>
          <w:color w:val="E97132" w:themeColor="accent2"/>
          <w:lang w:val="nl-NL"/>
        </w:rPr>
      </w:pPr>
      <w:bookmarkStart w:id="1" w:name="X8db53e83efb0bce54446c0d4bb60bb987cadad4"/>
      <w:r w:rsidRPr="00612B00">
        <w:rPr>
          <w:color w:val="E97132" w:themeColor="accent2"/>
          <w:lang w:val="nl-NL"/>
        </w:rPr>
        <w:t xml:space="preserve">1. </w:t>
      </w:r>
      <w:r w:rsidRPr="00612B00">
        <w:rPr>
          <w:b/>
          <w:bCs/>
          <w:color w:val="E97132" w:themeColor="accent2"/>
          <w:lang w:val="nl-NL"/>
        </w:rPr>
        <w:t xml:space="preserve">Tussen zeggenschap en vertrouwen: </w:t>
      </w:r>
      <w:proofErr w:type="spellStart"/>
      <w:r w:rsidRPr="00612B00">
        <w:rPr>
          <w:b/>
          <w:bCs/>
          <w:color w:val="E97132" w:themeColor="accent2"/>
          <w:lang w:val="nl-NL"/>
        </w:rPr>
        <w:t>influencer</w:t>
      </w:r>
      <w:proofErr w:type="spellEnd"/>
      <w:r w:rsidRPr="00612B00">
        <w:rPr>
          <w:b/>
          <w:bCs/>
          <w:color w:val="E97132" w:themeColor="accent2"/>
          <w:lang w:val="nl-NL"/>
        </w:rPr>
        <w:t>-contracten in de mode-industrie</w:t>
      </w:r>
    </w:p>
    <w:p w14:paraId="19126829" w14:textId="77777777" w:rsidR="0092054A" w:rsidRPr="00612B00" w:rsidRDefault="00000000">
      <w:pPr>
        <w:pStyle w:val="FirstParagraph"/>
        <w:rPr>
          <w:lang w:val="nl-NL"/>
        </w:rPr>
      </w:pPr>
      <w:r w:rsidRPr="00612B00">
        <w:rPr>
          <w:b/>
          <w:bCs/>
          <w:lang w:val="nl-NL"/>
        </w:rPr>
        <w:t>Juridisch belang</w:t>
      </w:r>
      <w:r w:rsidRPr="00612B00">
        <w:rPr>
          <w:lang w:val="nl-NL"/>
        </w:rPr>
        <w:t>: Merkhouders willen controle over gepubliceerde content, inclusief reputatiebescherming via boetebepalingen.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Commerciële realiteit</w:t>
      </w:r>
      <w:r w:rsidRPr="00612B00">
        <w:rPr>
          <w:lang w:val="nl-NL"/>
        </w:rPr>
        <w:t xml:space="preserve">: De kracht van de </w:t>
      </w:r>
      <w:proofErr w:type="spellStart"/>
      <w:r w:rsidRPr="00612B00">
        <w:rPr>
          <w:lang w:val="nl-NL"/>
        </w:rPr>
        <w:t>influencer</w:t>
      </w:r>
      <w:proofErr w:type="spellEnd"/>
      <w:r w:rsidRPr="00612B00">
        <w:rPr>
          <w:lang w:val="nl-NL"/>
        </w:rPr>
        <w:t xml:space="preserve"> zit juist in creatieve vrijheid en authenticiteit.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Ontwerpoplossing</w:t>
      </w:r>
      <w:r w:rsidRPr="00612B00">
        <w:rPr>
          <w:lang w:val="nl-NL"/>
        </w:rPr>
        <w:t>: Het contract krijgt een modulaire structuur met kernwaarden, richtlijnen én speelruimte, waardoor controle en vertrouwen samengaan.</w:t>
      </w:r>
    </w:p>
    <w:p w14:paraId="7232AB62" w14:textId="362E6D4E" w:rsidR="0092054A" w:rsidRPr="00612B00" w:rsidRDefault="00000000" w:rsidP="00612B00">
      <w:pPr>
        <w:pStyle w:val="Bloktekst"/>
        <w:ind w:left="0"/>
        <w:rPr>
          <w:lang w:val="nl-NL"/>
        </w:rPr>
      </w:pPr>
      <w:r w:rsidRPr="00612B00">
        <w:rPr>
          <w:i/>
          <w:iCs/>
          <w:lang w:val="nl-NL"/>
        </w:rPr>
        <w:t>Reflectie</w:t>
      </w:r>
      <w:r w:rsidRPr="00612B00">
        <w:rPr>
          <w:lang w:val="nl-NL"/>
        </w:rPr>
        <w:t>: Hoe ontwerp je juridische afspraken die aanvoelen als een uitnodiging tot samenwerking?</w:t>
      </w:r>
    </w:p>
    <w:p w14:paraId="1CE5BB2D" w14:textId="338C1C30" w:rsidR="0092054A" w:rsidRPr="00612B00" w:rsidRDefault="0092054A">
      <w:pPr>
        <w:rPr>
          <w:lang w:val="nl-NL"/>
        </w:rPr>
      </w:pPr>
    </w:p>
    <w:p w14:paraId="344A6878" w14:textId="77777777" w:rsidR="0092054A" w:rsidRPr="00612B00" w:rsidRDefault="00000000">
      <w:pPr>
        <w:pStyle w:val="Kop3"/>
        <w:rPr>
          <w:color w:val="E97132" w:themeColor="accent2"/>
          <w:lang w:val="nl-NL"/>
        </w:rPr>
      </w:pPr>
      <w:bookmarkStart w:id="2" w:name="X321f0181faa2621bbf1f7636f053d052401d56d"/>
      <w:bookmarkEnd w:id="1"/>
      <w:r w:rsidRPr="00612B00">
        <w:rPr>
          <w:color w:val="E97132" w:themeColor="accent2"/>
          <w:lang w:val="nl-NL"/>
        </w:rPr>
        <w:t xml:space="preserve">2. </w:t>
      </w:r>
      <w:r w:rsidRPr="00612B00">
        <w:rPr>
          <w:b/>
          <w:bCs/>
          <w:color w:val="E97132" w:themeColor="accent2"/>
          <w:lang w:val="nl-NL"/>
        </w:rPr>
        <w:t>Toestemming als gebruikerservaring: privacy bij chatbots</w:t>
      </w:r>
    </w:p>
    <w:p w14:paraId="25968323" w14:textId="77777777" w:rsidR="0092054A" w:rsidRPr="00612B00" w:rsidRDefault="00000000">
      <w:pPr>
        <w:pStyle w:val="FirstParagraph"/>
        <w:rPr>
          <w:lang w:val="nl-NL"/>
        </w:rPr>
      </w:pPr>
      <w:r w:rsidRPr="00612B00">
        <w:rPr>
          <w:b/>
          <w:bCs/>
          <w:lang w:val="nl-NL"/>
        </w:rPr>
        <w:t>Juridisch belang</w:t>
      </w:r>
      <w:r w:rsidRPr="00612B00">
        <w:rPr>
          <w:lang w:val="nl-NL"/>
        </w:rPr>
        <w:t>: De AVG vereist actieve, geïnformeerde toestemming voor het verwerken van persoonsgegevens.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Technologische realiteit</w:t>
      </w:r>
      <w:r w:rsidRPr="00612B00">
        <w:rPr>
          <w:lang w:val="nl-NL"/>
        </w:rPr>
        <w:t>: Chatbots functioneren optimaal als zij real-time data kunnen verzamelen.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Ontwerpoplossing</w:t>
      </w:r>
      <w:r w:rsidRPr="00612B00">
        <w:rPr>
          <w:lang w:val="nl-NL"/>
        </w:rPr>
        <w:t>: Toestemmingsmomenten worden geïntegreerd in de conversatieflow, met visuele ondersteuning en begrijpelijke taal.</w:t>
      </w:r>
    </w:p>
    <w:p w14:paraId="1A318A64" w14:textId="1BBD5B0E" w:rsidR="0092054A" w:rsidRPr="00612B00" w:rsidRDefault="00000000" w:rsidP="00612B00">
      <w:pPr>
        <w:pStyle w:val="Bloktekst"/>
        <w:ind w:left="0"/>
        <w:rPr>
          <w:lang w:val="nl-NL"/>
        </w:rPr>
      </w:pPr>
      <w:r w:rsidRPr="00612B00">
        <w:rPr>
          <w:i/>
          <w:iCs/>
          <w:lang w:val="nl-NL"/>
        </w:rPr>
        <w:t>Reflectie</w:t>
      </w:r>
      <w:r w:rsidRPr="00612B00">
        <w:rPr>
          <w:lang w:val="nl-NL"/>
        </w:rPr>
        <w:t>: Kan toestemming onderdeel zijn van een betekenisvolle gebruikersdialoog?</w:t>
      </w:r>
    </w:p>
    <w:p w14:paraId="7996EC66" w14:textId="600172BE" w:rsidR="0092054A" w:rsidRPr="00612B00" w:rsidRDefault="0092054A">
      <w:pPr>
        <w:rPr>
          <w:lang w:val="nl-NL"/>
        </w:rPr>
      </w:pPr>
    </w:p>
    <w:p w14:paraId="2DF80F99" w14:textId="77777777" w:rsidR="0092054A" w:rsidRPr="00612B00" w:rsidRDefault="00000000">
      <w:pPr>
        <w:pStyle w:val="Kop3"/>
        <w:rPr>
          <w:color w:val="E97132" w:themeColor="accent2"/>
          <w:lang w:val="nl-NL"/>
        </w:rPr>
      </w:pPr>
      <w:bookmarkStart w:id="3" w:name="Xeae43f1af4d136b21c2cd1575c42827ed4f14b6"/>
      <w:bookmarkEnd w:id="2"/>
      <w:r w:rsidRPr="00612B00">
        <w:rPr>
          <w:color w:val="E97132" w:themeColor="accent2"/>
          <w:lang w:val="nl-NL"/>
        </w:rPr>
        <w:t xml:space="preserve">3. </w:t>
      </w:r>
      <w:r w:rsidRPr="00612B00">
        <w:rPr>
          <w:b/>
          <w:bCs/>
          <w:color w:val="E97132" w:themeColor="accent2"/>
          <w:lang w:val="nl-NL"/>
        </w:rPr>
        <w:t>Taal als merk: algemene voorwaarden op duurzame websites</w:t>
      </w:r>
    </w:p>
    <w:p w14:paraId="207B34E1" w14:textId="77777777" w:rsidR="0092054A" w:rsidRPr="00612B00" w:rsidRDefault="00000000">
      <w:pPr>
        <w:pStyle w:val="FirstParagraph"/>
        <w:rPr>
          <w:lang w:val="nl-NL"/>
        </w:rPr>
      </w:pPr>
      <w:r w:rsidRPr="00612B00">
        <w:rPr>
          <w:b/>
          <w:bCs/>
          <w:lang w:val="nl-NL"/>
        </w:rPr>
        <w:t>Juridisch belang</w:t>
      </w:r>
      <w:r w:rsidRPr="00612B00">
        <w:rPr>
          <w:lang w:val="nl-NL"/>
        </w:rPr>
        <w:t>: Voorwaarden moeten volledig en juridisch sluitend zijn.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Merkbelofte</w:t>
      </w:r>
      <w:r w:rsidRPr="00612B00">
        <w:rPr>
          <w:lang w:val="nl-NL"/>
        </w:rPr>
        <w:t>: Het merk wil warm, toegankelijk en verbindend communiceren.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Ontwerpoplossing</w:t>
      </w:r>
      <w:r w:rsidRPr="00612B00">
        <w:rPr>
          <w:lang w:val="nl-NL"/>
        </w:rPr>
        <w:t>: De juridische tekst wordt herschreven in begrijpelijke taal, vormgegeven in lijn met de huisstijl, en voorzien van visuele iconen die de lezer begeleiden.</w:t>
      </w:r>
    </w:p>
    <w:p w14:paraId="31A85C7A" w14:textId="0AFC4DB6" w:rsidR="0092054A" w:rsidRPr="00612B00" w:rsidRDefault="00000000" w:rsidP="00612B00">
      <w:pPr>
        <w:pStyle w:val="Bloktekst"/>
        <w:ind w:left="0"/>
        <w:rPr>
          <w:lang w:val="nl-NL"/>
        </w:rPr>
      </w:pPr>
      <w:r w:rsidRPr="00612B00">
        <w:rPr>
          <w:i/>
          <w:iCs/>
          <w:lang w:val="nl-NL"/>
        </w:rPr>
        <w:t>Reflectie</w:t>
      </w:r>
      <w:r w:rsidRPr="00612B00">
        <w:rPr>
          <w:lang w:val="nl-NL"/>
        </w:rPr>
        <w:t>: Wanneer wordt juridische taal geloofwaardig en wanneer vervreemdend?</w:t>
      </w:r>
    </w:p>
    <w:p w14:paraId="22F08BC4" w14:textId="0C3DEDF3" w:rsidR="0092054A" w:rsidRPr="00612B00" w:rsidRDefault="0092054A"/>
    <w:p w14:paraId="012E90B5" w14:textId="77777777" w:rsidR="0092054A" w:rsidRPr="00612B00" w:rsidRDefault="00000000">
      <w:pPr>
        <w:pStyle w:val="Kop3"/>
        <w:rPr>
          <w:color w:val="E97132" w:themeColor="accent2"/>
          <w:lang w:val="nl-NL"/>
        </w:rPr>
      </w:pPr>
      <w:bookmarkStart w:id="4" w:name="X70f36b7e643dbee5b965b4ed40f8cc104afcffe"/>
      <w:bookmarkEnd w:id="3"/>
      <w:r w:rsidRPr="00612B00">
        <w:rPr>
          <w:color w:val="E97132" w:themeColor="accent2"/>
          <w:lang w:val="nl-NL"/>
        </w:rPr>
        <w:t xml:space="preserve">4. </w:t>
      </w:r>
      <w:r w:rsidRPr="00612B00">
        <w:rPr>
          <w:b/>
          <w:bCs/>
          <w:color w:val="E97132" w:themeColor="accent2"/>
          <w:lang w:val="nl-NL"/>
        </w:rPr>
        <w:t>Aansprakelijkheid zonder angst: medische apps en gebruikersveiligheid</w:t>
      </w:r>
    </w:p>
    <w:p w14:paraId="72723390" w14:textId="77777777" w:rsidR="0092054A" w:rsidRPr="00612B00" w:rsidRDefault="00000000">
      <w:pPr>
        <w:pStyle w:val="FirstParagraph"/>
        <w:rPr>
          <w:lang w:val="nl-NL"/>
        </w:rPr>
      </w:pPr>
      <w:r w:rsidRPr="00612B00">
        <w:rPr>
          <w:b/>
          <w:bCs/>
          <w:lang w:val="nl-NL"/>
        </w:rPr>
        <w:t>Juridisch belang</w:t>
      </w:r>
      <w:r w:rsidRPr="00612B00">
        <w:rPr>
          <w:lang w:val="nl-NL"/>
        </w:rPr>
        <w:t>: Foutieve interpretatie van zelfdiagnose kan leiden tot schadeclaims.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Technologisch belang</w:t>
      </w:r>
      <w:r w:rsidRPr="00612B00">
        <w:rPr>
          <w:lang w:val="nl-NL"/>
        </w:rPr>
        <w:t>: De app moet laagdrempelig, snel en intuïtief zijn.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Ontwerpoplossing</w:t>
      </w:r>
      <w:r w:rsidRPr="00612B00">
        <w:rPr>
          <w:lang w:val="nl-NL"/>
        </w:rPr>
        <w:t xml:space="preserve">: </w:t>
      </w:r>
      <w:proofErr w:type="spellStart"/>
      <w:r w:rsidRPr="00612B00">
        <w:rPr>
          <w:lang w:val="nl-NL"/>
        </w:rPr>
        <w:t>Disclaimers</w:t>
      </w:r>
      <w:proofErr w:type="spellEnd"/>
      <w:r w:rsidRPr="00612B00">
        <w:rPr>
          <w:lang w:val="nl-NL"/>
        </w:rPr>
        <w:t xml:space="preserve"> en doorverwijzingen worden niet weggestopt, maar actief geïntegreerd in de interface als begeleidende elementen.</w:t>
      </w:r>
    </w:p>
    <w:p w14:paraId="223103EA" w14:textId="70EC98FE" w:rsidR="0092054A" w:rsidRDefault="00000000" w:rsidP="00612B00">
      <w:pPr>
        <w:pStyle w:val="Bloktekst"/>
        <w:ind w:left="0"/>
        <w:rPr>
          <w:lang w:val="nl-NL"/>
        </w:rPr>
      </w:pPr>
      <w:r w:rsidRPr="00612B00">
        <w:rPr>
          <w:i/>
          <w:iCs/>
          <w:lang w:val="nl-NL"/>
        </w:rPr>
        <w:t>Reflectie</w:t>
      </w:r>
      <w:r w:rsidRPr="00612B00">
        <w:rPr>
          <w:lang w:val="nl-NL"/>
        </w:rPr>
        <w:t>: Hoe combineer je rechtszekerheid met empathische communicatie?</w:t>
      </w:r>
    </w:p>
    <w:p w14:paraId="4F8E5C10" w14:textId="77777777" w:rsidR="00612B00" w:rsidRPr="00612B00" w:rsidRDefault="00612B00" w:rsidP="00612B00">
      <w:pPr>
        <w:pStyle w:val="Plattetekst"/>
        <w:rPr>
          <w:lang w:val="nl-NL"/>
        </w:rPr>
      </w:pPr>
    </w:p>
    <w:p w14:paraId="5C45FC0A" w14:textId="77777777" w:rsidR="0092054A" w:rsidRPr="00612B00" w:rsidRDefault="00000000">
      <w:pPr>
        <w:pStyle w:val="Kop3"/>
        <w:rPr>
          <w:color w:val="E97132" w:themeColor="accent2"/>
          <w:lang w:val="nl-NL"/>
        </w:rPr>
      </w:pPr>
      <w:bookmarkStart w:id="5" w:name="X645322709f2e3c770f2ef8319abbe22987e3c9f"/>
      <w:bookmarkEnd w:id="4"/>
      <w:r w:rsidRPr="00612B00">
        <w:rPr>
          <w:color w:val="E97132" w:themeColor="accent2"/>
          <w:lang w:val="nl-NL"/>
        </w:rPr>
        <w:t xml:space="preserve">5. </w:t>
      </w:r>
      <w:r w:rsidRPr="00612B00">
        <w:rPr>
          <w:b/>
          <w:bCs/>
          <w:color w:val="E97132" w:themeColor="accent2"/>
          <w:lang w:val="nl-NL"/>
        </w:rPr>
        <w:t>Remix met respect: auteursrechten in creatieve platforms</w:t>
      </w:r>
    </w:p>
    <w:p w14:paraId="03E2E879" w14:textId="08810950" w:rsidR="0092054A" w:rsidRPr="00612B00" w:rsidRDefault="00000000">
      <w:pPr>
        <w:pStyle w:val="FirstParagraph"/>
        <w:rPr>
          <w:lang w:val="nl-NL"/>
        </w:rPr>
      </w:pPr>
      <w:r w:rsidRPr="00612B00">
        <w:rPr>
          <w:b/>
          <w:bCs/>
          <w:lang w:val="nl-NL"/>
        </w:rPr>
        <w:t>Juridisch belang</w:t>
      </w:r>
      <w:r w:rsidRPr="00612B00">
        <w:rPr>
          <w:lang w:val="nl-NL"/>
        </w:rPr>
        <w:t>: Hergebruik van werk zonder licentie blijft risicovol.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Innovatieve ambitie</w:t>
      </w:r>
      <w:r w:rsidRPr="00612B00">
        <w:rPr>
          <w:lang w:val="nl-NL"/>
        </w:rPr>
        <w:t>: Creatieve platforms willen remix, herinterpretatie en co-creatie aanmoedigen.</w:t>
      </w:r>
      <w:r w:rsidRPr="00612B00">
        <w:rPr>
          <w:lang w:val="nl-NL"/>
        </w:rPr>
        <w:br/>
      </w:r>
      <w:r w:rsidRPr="00612B00">
        <w:rPr>
          <w:b/>
          <w:bCs/>
          <w:lang w:val="nl-NL"/>
        </w:rPr>
        <w:t>Ontwerpoplossing</w:t>
      </w:r>
      <w:r w:rsidRPr="00612B00">
        <w:rPr>
          <w:lang w:val="nl-NL"/>
        </w:rPr>
        <w:t xml:space="preserve">: Flexibele licentiemodellen (zoals Creative </w:t>
      </w:r>
      <w:proofErr w:type="spellStart"/>
      <w:r w:rsidRPr="00612B00">
        <w:rPr>
          <w:lang w:val="nl-NL"/>
        </w:rPr>
        <w:t>Commons</w:t>
      </w:r>
      <w:proofErr w:type="spellEnd"/>
      <w:r w:rsidRPr="00612B00">
        <w:rPr>
          <w:lang w:val="nl-NL"/>
        </w:rPr>
        <w:t>) worden als standaard opgenomen, met interactieve keuzetools voor gebruikers.</w:t>
      </w:r>
    </w:p>
    <w:p w14:paraId="32FD1F75" w14:textId="6979834B" w:rsidR="0092054A" w:rsidRDefault="00000000" w:rsidP="00612B00">
      <w:pPr>
        <w:pStyle w:val="Bloktekst"/>
        <w:ind w:left="0"/>
        <w:rPr>
          <w:lang w:val="nl-NL"/>
        </w:rPr>
      </w:pPr>
      <w:r w:rsidRPr="00612B00">
        <w:rPr>
          <w:i/>
          <w:iCs/>
          <w:lang w:val="nl-NL"/>
        </w:rPr>
        <w:t>Reflectie</w:t>
      </w:r>
      <w:r w:rsidRPr="00612B00">
        <w:rPr>
          <w:lang w:val="nl-NL"/>
        </w:rPr>
        <w:t>: Wat betekent juridische duidelijkheid binnen een cultuur van openheid?</w:t>
      </w:r>
    </w:p>
    <w:p w14:paraId="4B4A9D4A" w14:textId="77777777" w:rsidR="00612B00" w:rsidRPr="00612B00" w:rsidRDefault="00612B00" w:rsidP="00612B00">
      <w:pPr>
        <w:pStyle w:val="Plattetekst"/>
        <w:rPr>
          <w:lang w:val="nl-NL"/>
        </w:rPr>
      </w:pPr>
    </w:p>
    <w:p w14:paraId="468BA71C" w14:textId="0CEBF03E" w:rsidR="0092054A" w:rsidRPr="00612B00" w:rsidRDefault="00612B00">
      <w:pPr>
        <w:pStyle w:val="Plattetekst"/>
        <w:rPr>
          <w:lang w:val="nl-NL"/>
        </w:rPr>
      </w:pPr>
      <w:bookmarkStart w:id="6" w:name="X862ab73148157abd893a0cbe36c57a3044f9351"/>
      <w:bookmarkEnd w:id="5"/>
      <w:r>
        <w:rPr>
          <w:lang w:val="nl-NL"/>
        </w:rPr>
        <w:t>-----------------------------------------------------------------------------------------------------------</w:t>
      </w:r>
      <w:bookmarkEnd w:id="0"/>
      <w:bookmarkEnd w:id="6"/>
    </w:p>
    <w:sectPr w:rsidR="0092054A" w:rsidRPr="00612B00">
      <w:footnotePr>
        <w:numRestart w:val="eachSect"/>
      </w:footnotePr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F774D55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60746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A"/>
    <w:rsid w:val="00612B00"/>
    <w:rsid w:val="006345B6"/>
    <w:rsid w:val="0092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7291"/>
  <w15:docId w15:val="{A33B40B2-378D-4278-B42E-A806545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link w:val="Kop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Plattetekst"/>
    <w:link w:val="Kop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Plattetekst"/>
    <w:link w:val="Kop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Plattetekst"/>
    <w:link w:val="Kop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Plattetekst"/>
    <w:link w:val="Kop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Plattetekst"/>
    <w:link w:val="Kop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Plattetekst"/>
    <w:link w:val="Kop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Plattetekst"/>
    <w:link w:val="Kop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Plattetekst"/>
    <w:link w:val="Kop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link w:val="Titel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Titel"/>
    <w:next w:val="Plattetekst"/>
    <w:link w:val="Ondertitel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Title">
    <w:name w:val="Abstract Title"/>
    <w:basedOn w:val="Standaard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1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character" w:customStyle="1" w:styleId="Kop1Char">
    <w:name w:val="Kop 1 Char"/>
    <w:basedOn w:val="Standaardalinea-lettertype"/>
    <w:link w:val="Kop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  <w:ind w:left="480" w:right="480"/>
    </w:pPr>
  </w:style>
  <w:style w:type="paragraph" w:styleId="Voetnoottekst">
    <w:name w:val="footnote text"/>
    <w:basedOn w:val="Standaard"/>
    <w:uiPriority w:val="9"/>
    <w:unhideWhenUsed/>
    <w:qFormat/>
  </w:style>
  <w:style w:type="paragraph" w:customStyle="1" w:styleId="FootnoteBlockText">
    <w:name w:val="Footnote Block Text"/>
    <w:basedOn w:val="Voetnoottekst"/>
    <w:next w:val="Voetnootteks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ijschriftChar"/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156082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Dorrit Theunissen</dc:creator>
  <cp:keywords/>
  <cp:lastModifiedBy>Dorrit Theunissen</cp:lastModifiedBy>
  <cp:revision>2</cp:revision>
  <dcterms:created xsi:type="dcterms:W3CDTF">2025-06-13T08:24:00Z</dcterms:created>
  <dcterms:modified xsi:type="dcterms:W3CDTF">2025-06-13T08:24:00Z</dcterms:modified>
</cp:coreProperties>
</file>